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7089" w14:textId="40F1F812" w:rsidR="00AF7F42" w:rsidRDefault="0095294E" w:rsidP="005E76DB">
      <w:pPr>
        <w:jc w:val="center"/>
        <w:rPr>
          <w:rFonts w:ascii="Euphemia" w:eastAsia="Times New Roman" w:hAnsi="Euphemia" w:cs="Times New Roman"/>
          <w:b/>
          <w:bCs/>
          <w:color w:val="222E5E"/>
          <w:kern w:val="0"/>
          <w:sz w:val="20"/>
          <w:szCs w:val="20"/>
          <w:shd w:val="clear" w:color="auto" w:fill="FFFFFF"/>
          <w:lang w:eastAsia="en-GB"/>
          <w14:ligatures w14:val="none"/>
        </w:rPr>
      </w:pPr>
      <w:r>
        <w:rPr>
          <w:rFonts w:ascii="Euphemia" w:eastAsia="Times New Roman" w:hAnsi="Euphemia" w:cs="Times New Roman"/>
          <w:b/>
          <w:bCs/>
          <w:noProof/>
          <w:color w:val="222E5E"/>
          <w:kern w:val="0"/>
          <w:sz w:val="20"/>
          <w:szCs w:val="20"/>
          <w:shd w:val="clear" w:color="auto" w:fill="FFFFFF"/>
          <w:lang w:eastAsia="en-GB"/>
        </w:rPr>
        <w:drawing>
          <wp:inline distT="0" distB="0" distL="0" distR="0" wp14:anchorId="1DC6A907" wp14:editId="56E6124F">
            <wp:extent cx="3030785" cy="1055077"/>
            <wp:effectExtent l="0" t="0" r="5080" b="0"/>
            <wp:docPr id="1307023801" name="Picture 3" descr="A blue and white flag with a bird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23801" name="Picture 3" descr="A blue and white flag with a bird and a symbol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59" b="34329"/>
                    <a:stretch/>
                  </pic:blipFill>
                  <pic:spPr bwMode="auto">
                    <a:xfrm>
                      <a:off x="0" y="0"/>
                      <a:ext cx="3055663" cy="1063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4A19D" w14:textId="77777777" w:rsidR="00AF7F42" w:rsidRDefault="00AF7F42" w:rsidP="005E76DB">
      <w:pPr>
        <w:jc w:val="center"/>
        <w:rPr>
          <w:rFonts w:ascii="Euphemia" w:eastAsia="Times New Roman" w:hAnsi="Euphemia" w:cs="Times New Roman"/>
          <w:b/>
          <w:bCs/>
          <w:color w:val="222E5E"/>
          <w:kern w:val="0"/>
          <w:sz w:val="20"/>
          <w:szCs w:val="20"/>
          <w:shd w:val="clear" w:color="auto" w:fill="FFFFFF"/>
          <w:lang w:eastAsia="en-GB"/>
          <w14:ligatures w14:val="none"/>
        </w:rPr>
      </w:pPr>
    </w:p>
    <w:p w14:paraId="1DB8BE39" w14:textId="3005FDC1" w:rsidR="005E76DB" w:rsidRPr="00E3737A" w:rsidRDefault="005E76DB" w:rsidP="00E3737A">
      <w:pPr>
        <w:spacing w:before="360" w:after="120" w:line="360" w:lineRule="auto"/>
        <w:jc w:val="center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 w:rsidRPr="00E3737A">
        <w:rPr>
          <w:rFonts w:ascii="Verdana" w:eastAsia="Times New Roman" w:hAnsi="Verdana" w:cs="Times New Roman"/>
          <w:b/>
          <w:bCs/>
          <w:color w:val="222E5E"/>
          <w:kern w:val="0"/>
          <w:shd w:val="clear" w:color="auto" w:fill="FFFFFF"/>
          <w:lang w:eastAsia="en-GB"/>
          <w14:ligatures w14:val="none"/>
        </w:rPr>
        <w:t>REDE DE ÁREAS MARINHAS PROTEGIDAS DOS AÇORES (RAMPA)</w:t>
      </w:r>
    </w:p>
    <w:p w14:paraId="5E206B42" w14:textId="165CD363" w:rsidR="005E76DB" w:rsidRPr="00E3737A" w:rsidRDefault="005E76DB" w:rsidP="00E3737A">
      <w:pPr>
        <w:spacing w:before="360" w:after="120" w:line="360" w:lineRule="auto"/>
        <w:jc w:val="center"/>
        <w:rPr>
          <w:rFonts w:ascii="Verdana" w:eastAsia="Times New Roman" w:hAnsi="Verdana" w:cs="Times New Roman"/>
          <w:b/>
          <w:bCs/>
          <w:color w:val="222E5E"/>
          <w:kern w:val="0"/>
          <w:shd w:val="clear" w:color="auto" w:fill="FFFFFF"/>
          <w:lang w:eastAsia="en-GB"/>
          <w14:ligatures w14:val="none"/>
        </w:rPr>
      </w:pPr>
      <w:r w:rsidRPr="00E3737A">
        <w:rPr>
          <w:rFonts w:ascii="Verdana" w:eastAsia="Times New Roman" w:hAnsi="Verdana" w:cs="Times New Roman"/>
          <w:b/>
          <w:bCs/>
          <w:color w:val="222E5E"/>
          <w:kern w:val="0"/>
          <w:shd w:val="clear" w:color="auto" w:fill="FFFFFF"/>
          <w:lang w:eastAsia="en-GB"/>
          <w14:ligatures w14:val="none"/>
        </w:rPr>
        <w:t xml:space="preserve">Consulta Pública sobre a </w:t>
      </w:r>
      <w:r w:rsidR="00263F80" w:rsidRPr="00E3737A">
        <w:rPr>
          <w:rFonts w:ascii="Verdana" w:eastAsia="Times New Roman" w:hAnsi="Verdana" w:cs="Times New Roman"/>
          <w:b/>
          <w:bCs/>
          <w:color w:val="222E5E"/>
          <w:kern w:val="0"/>
          <w:shd w:val="clear" w:color="auto" w:fill="FFFFFF"/>
          <w:lang w:eastAsia="en-GB"/>
          <w14:ligatures w14:val="none"/>
        </w:rPr>
        <w:t xml:space="preserve">reforma </w:t>
      </w:r>
      <w:r w:rsidRPr="00E3737A">
        <w:rPr>
          <w:rFonts w:ascii="Verdana" w:eastAsia="Times New Roman" w:hAnsi="Verdana" w:cs="Times New Roman"/>
          <w:b/>
          <w:bCs/>
          <w:color w:val="222E5E"/>
          <w:kern w:val="0"/>
          <w:shd w:val="clear" w:color="auto" w:fill="FFFFFF"/>
          <w:lang w:eastAsia="en-GB"/>
          <w14:ligatures w14:val="none"/>
        </w:rPr>
        <w:t>do Parque Marinho dos Açores e da Rede de Áreas Marinhas Protegidas dos Açores</w:t>
      </w:r>
    </w:p>
    <w:p w14:paraId="7E65AA4B" w14:textId="2D2EE429" w:rsidR="005E76DB" w:rsidRPr="008A78AD" w:rsidRDefault="00EC6A45" w:rsidP="00C363F7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Gostaria de receber o relatório de ponderação da 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C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onsulta 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Pú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blica? Caso a sua resposta seja positiva nec</w:t>
      </w:r>
      <w:r w:rsidR="00F408A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e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ssitamos</w:t>
      </w:r>
      <w:r w:rsidR="00F408A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4C3BD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dos seus dados seguintes, com o compromisso do estrito cumprimento</w:t>
      </w:r>
      <w:r w:rsidR="00F83FA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do</w:t>
      </w:r>
      <w:r w:rsidR="00AA3E7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Regulamento Geral sobre a Proteção de Dados</w:t>
      </w:r>
      <w:r w:rsidR="00F83FA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AA3E7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(aprovado pelo </w:t>
      </w:r>
      <w:r w:rsidR="00C363F7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Regulamento (UE) 2016/679 do Parlamento Europeu e do Conselho, de 27 de abril de 2016, relativo à proteção das pessoas singulares</w:t>
      </w:r>
      <w:r w:rsidR="00AA3E7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</w:t>
      </w:r>
      <w:r w:rsidR="00C363F7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no que diz respeito ao tratamento de dados pessoais e à livre circulação desses dados e que revoga a Diretiva 95/46/CE</w:t>
      </w:r>
      <w:r w:rsidR="00AA3E7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).</w:t>
      </w:r>
    </w:p>
    <w:p w14:paraId="1D65681F" w14:textId="64B17D25" w:rsidR="005E76DB" w:rsidRPr="008A78AD" w:rsidRDefault="005E76DB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Nome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completo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:</w:t>
      </w:r>
      <w:r w:rsidR="0095294E" w:rsidRPr="008A78AD">
        <w:rPr>
          <w:rFonts w:ascii="Verdana" w:hAnsi="Verdana"/>
          <w:noProof/>
          <w:sz w:val="22"/>
          <w:szCs w:val="22"/>
        </w:rPr>
        <w:t xml:space="preserve"> </w:t>
      </w:r>
      <w:r w:rsidR="00E3737A" w:rsidRPr="008A78AD">
        <w:rPr>
          <w:rFonts w:ascii="Verdana" w:hAnsi="Verdana"/>
          <w:noProof/>
          <w:sz w:val="22"/>
          <w:szCs w:val="22"/>
        </w:rPr>
        <w:t>[</w:t>
      </w:r>
      <w:r w:rsidR="00E3737A" w:rsidRPr="008A78AD">
        <w:rPr>
          <w:rFonts w:ascii="Verdana" w:hAnsi="Verdana"/>
          <w:i/>
          <w:iCs/>
          <w:noProof/>
          <w:sz w:val="22"/>
          <w:szCs w:val="22"/>
        </w:rPr>
        <w:t>inserir</w:t>
      </w:r>
      <w:r w:rsidR="00EA4C68" w:rsidRPr="008A78AD">
        <w:rPr>
          <w:rFonts w:ascii="Verdana" w:hAnsi="Verdana"/>
          <w:i/>
          <w:iCs/>
          <w:noProof/>
          <w:sz w:val="22"/>
          <w:szCs w:val="22"/>
        </w:rPr>
        <w:t xml:space="preserve"> primeiro e </w:t>
      </w:r>
      <w:r w:rsidR="007A22D1" w:rsidRPr="008A78AD">
        <w:rPr>
          <w:rFonts w:ascii="Verdana" w:hAnsi="Verdana"/>
          <w:i/>
          <w:iCs/>
          <w:noProof/>
          <w:sz w:val="22"/>
          <w:szCs w:val="22"/>
        </w:rPr>
        <w:t>ú</w:t>
      </w:r>
      <w:r w:rsidR="00EA4C68" w:rsidRPr="008A78AD">
        <w:rPr>
          <w:rFonts w:ascii="Verdana" w:hAnsi="Verdana"/>
          <w:i/>
          <w:iCs/>
          <w:noProof/>
          <w:sz w:val="22"/>
          <w:szCs w:val="22"/>
        </w:rPr>
        <w:t>ltimo</w:t>
      </w:r>
      <w:r w:rsidR="00E3737A" w:rsidRPr="008A78AD">
        <w:rPr>
          <w:rFonts w:ascii="Verdana" w:hAnsi="Verdana"/>
          <w:i/>
          <w:iCs/>
          <w:noProof/>
          <w:sz w:val="22"/>
          <w:szCs w:val="22"/>
        </w:rPr>
        <w:t xml:space="preserve"> nome</w:t>
      </w:r>
      <w:r w:rsidR="00E3737A" w:rsidRPr="008A78AD">
        <w:rPr>
          <w:rFonts w:ascii="Verdana" w:hAnsi="Verdana"/>
          <w:noProof/>
          <w:sz w:val="22"/>
          <w:szCs w:val="22"/>
        </w:rPr>
        <w:t>]</w:t>
      </w:r>
    </w:p>
    <w:p w14:paraId="4B7C083F" w14:textId="273BC9D8" w:rsidR="005E76DB" w:rsidRPr="008A78AD" w:rsidRDefault="005E76DB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Email</w:t>
      </w:r>
      <w:r w:rsidR="00F408A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de contacto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:</w:t>
      </w:r>
      <w:r w:rsidR="00BB6421" w:rsidRPr="008A78AD">
        <w:rPr>
          <w:rFonts w:ascii="Verdana" w:hAnsi="Verdana"/>
          <w:noProof/>
          <w:color w:val="272833"/>
          <w:sz w:val="22"/>
          <w:szCs w:val="22"/>
          <w:shd w:val="clear" w:color="auto" w:fill="FFFFFF"/>
        </w:rPr>
        <w:t xml:space="preserve"> </w:t>
      </w:r>
      <w:r w:rsidR="00E3737A" w:rsidRPr="008A78AD">
        <w:rPr>
          <w:rFonts w:ascii="Verdana" w:hAnsi="Verdana"/>
          <w:noProof/>
          <w:sz w:val="22"/>
          <w:szCs w:val="22"/>
        </w:rPr>
        <w:t>[</w:t>
      </w:r>
      <w:r w:rsidR="00E3737A" w:rsidRPr="008A78AD">
        <w:rPr>
          <w:rFonts w:ascii="Verdana" w:hAnsi="Verdana"/>
          <w:i/>
          <w:iCs/>
          <w:noProof/>
          <w:sz w:val="22"/>
          <w:szCs w:val="22"/>
        </w:rPr>
        <w:t>inserir email</w:t>
      </w:r>
      <w:r w:rsidR="00E3737A" w:rsidRPr="008A78AD">
        <w:rPr>
          <w:rFonts w:ascii="Verdana" w:hAnsi="Verdana"/>
          <w:noProof/>
          <w:sz w:val="22"/>
          <w:szCs w:val="22"/>
        </w:rPr>
        <w:t>]</w:t>
      </w:r>
    </w:p>
    <w:p w14:paraId="0BB3F149" w14:textId="62181BAF" w:rsidR="005E76DB" w:rsidRPr="008A78AD" w:rsidRDefault="00E3737A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 presente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Consulta Pública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refere-</w:t>
      </w:r>
      <w:r w:rsidR="00A64A9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se ao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projeto de proposta 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relativo à 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2ª alteração ao Decreto Legislativo Regional n.º 28/2011/A, de 11 de novembro</w:t>
      </w:r>
      <w:r w:rsidR="0035087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 cumpre com o disposto no </w:t>
      </w:r>
      <w:r w:rsidR="0066313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artigo 49.º do Decreto Legislativo Regional n.º 15/2012</w:t>
      </w:r>
      <w:r w:rsidR="00716E4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/A, 2 de abril.</w:t>
      </w:r>
    </w:p>
    <w:p w14:paraId="1036294E" w14:textId="48E4F7EF" w:rsidR="00A841D9" w:rsidRPr="008A78AD" w:rsidRDefault="005E76DB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No âmbito da Estratégia Europeia para a Biodiversidade 2030 e dos Objetivos de Desenvolvimento Sustentável das Nações Unidas, </w:t>
      </w:r>
      <w:r w:rsidR="00716E4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o Estado Português</w:t>
      </w:r>
      <w:r w:rsidR="00F0414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 onde se incluem os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Açores</w:t>
      </w:r>
      <w:r w:rsidR="00F0414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</w:t>
      </w:r>
      <w:r w:rsidR="00D833A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est</w:t>
      </w:r>
      <w:r w:rsidR="00F04146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á</w:t>
      </w:r>
      <w:r w:rsidR="00D833A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obrigado </w:t>
      </w:r>
      <w:r w:rsidR="00A841D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 proteger o seu</w:t>
      </w:r>
      <w:r w:rsidR="00E279C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mar</w:t>
      </w:r>
      <w:r w:rsidR="007917D7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.</w:t>
      </w:r>
    </w:p>
    <w:p w14:paraId="49940CEC" w14:textId="77777777" w:rsidR="00676A61" w:rsidRPr="008A78AD" w:rsidRDefault="007917D7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Nesse contexto, o Governo Regional dos Açores, assumiu como desiderato</w:t>
      </w:r>
      <w:r w:rsidR="00676A6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 proteger 30% do mar dos Açores, através de Áreas Marinhas Protegidas com, pelo menos, 15% totalmente protegido.</w:t>
      </w:r>
      <w:r w:rsidR="008150D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</w:p>
    <w:p w14:paraId="777FA83E" w14:textId="5FA7E562" w:rsidR="005E76DB" w:rsidRPr="008A78AD" w:rsidRDefault="002472A3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lastRenderedPageBreak/>
        <w:t>O objetivo da</w:t>
      </w:r>
      <w:r w:rsidR="00CB7C02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presente alteração 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legislativa </w:t>
      </w:r>
      <w:r w:rsidR="00CB7C02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é dar resposta a essas obrigações e compromissos</w:t>
      </w:r>
      <w:r w:rsidR="00FB7FD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, quer contribuindo para que o Estado Português cumpra os seus compromissos internacionais, em razão da dimensão </w:t>
      </w:r>
      <w:r w:rsidR="00FC699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que o</w:t>
      </w:r>
      <w:r w:rsidR="00FB7FD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mar dos Açores</w:t>
      </w:r>
      <w:r w:rsidR="00FC699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assume no contexto nacional</w:t>
      </w:r>
      <w:r w:rsidR="00FB7FD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, quer </w:t>
      </w:r>
      <w:r w:rsidR="00CA6D4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como propósito </w:t>
      </w:r>
      <w:r w:rsidR="001B29E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próprio</w:t>
      </w:r>
      <w:r w:rsidR="007D76BC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da autonomia político-administrativa</w:t>
      </w:r>
      <w:r w:rsidR="001B29E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de defesa e conservação ambiental marinha </w:t>
      </w:r>
      <w:r w:rsidR="003D7095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do mar</w:t>
      </w:r>
      <w:r w:rsidR="001B29E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adjacente ao </w:t>
      </w:r>
      <w:r w:rsidR="003D7095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território do arquipélago dos Açores.</w:t>
      </w:r>
    </w:p>
    <w:p w14:paraId="27F7B74B" w14:textId="77777777" w:rsidR="00957B09" w:rsidRPr="008A78AD" w:rsidRDefault="003D7095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O anteprojeto de proposta de decreto legislativo regional que agora é submetido à apreciação da sociedade civil, na qual se incluem, como é evidente, os principais agente</w:t>
      </w:r>
      <w:r w:rsidR="00FC699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 associadas às atividades desenvolvidas no mar,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teve como base o mais robusto conhecimento científico disponível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</w:t>
      </w:r>
      <w:r w:rsidR="00604A7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em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estreita ligação com os utilizadores do mar</w:t>
      </w:r>
      <w:r w:rsidR="00604A7E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.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</w:p>
    <w:p w14:paraId="377B8C5C" w14:textId="7A39F2AF" w:rsidR="005E76DB" w:rsidRPr="008A78AD" w:rsidRDefault="00604A7E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esde dezembro de 2021 até junho de 2023, 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realizaram-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se 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mais de 40 reuniões de suporte, 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envolvendo diversas organizações da sociedade civil, da administração</w:t>
      </w:r>
      <w:r w:rsidR="00957B0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regional</w:t>
      </w:r>
      <w:r w:rsidR="005A6ED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 dos agentes económicos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, </w:t>
      </w:r>
      <w:r w:rsidR="005E76DB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num processo de cocriação da nova RAMPA.</w:t>
      </w:r>
    </w:p>
    <w:p w14:paraId="3904019C" w14:textId="77777777" w:rsidR="005A6ED8" w:rsidRPr="008A78AD" w:rsidRDefault="00161E8B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 alteração ao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Parque Marinho dos Açores contempla </w:t>
      </w:r>
      <w:r w:rsidR="005A6ED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áreas marinhas protegidas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oceânicas que </w:t>
      </w:r>
      <w:r w:rsidR="005A6ED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vão permitir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proteger e ajudar a recuperar 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30% do mar dos Açores, sendo</w:t>
      </w:r>
      <w:r w:rsidR="005A6ED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 como já se referiu,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metade dessa área totalmente 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protegida, ou seja, onde são 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interdita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quaisquer 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atividade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extrativa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. </w:t>
      </w:r>
    </w:p>
    <w:p w14:paraId="05CF26A5" w14:textId="1D8BEA3C" w:rsidR="00185B6D" w:rsidRPr="008A78AD" w:rsidRDefault="005A6ED8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O 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diploma 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aqui sujeito à opinião de todos 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prevê, igualmente, o enquadramento jurídico para a gestão 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RAMPA</w:t>
      </w:r>
      <w:r w:rsidR="002472A3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 utilizando os melhores critérios internacionais</w:t>
      </w:r>
      <w:r w:rsidR="00185B6D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.</w:t>
      </w:r>
    </w:p>
    <w:p w14:paraId="0DB9B1E7" w14:textId="638E29E2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As </w:t>
      </w:r>
      <w:r w:rsidR="008A065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principais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alterações alvo </w:t>
      </w:r>
      <w:r w:rsidR="005A6ED8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submetidas à apreciação de todos</w:t>
      </w:r>
      <w:r w:rsidR="000A2DA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são</w:t>
      </w:r>
      <w:r w:rsidR="007A22D1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 essencialmente,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o sistema de gestão da RAMPA e as novas </w:t>
      </w:r>
      <w:r w:rsidR="000A2DA9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áreas marinhas protegidas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oceânicas, até às 200 milhas náuticas,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do Parque Marinho dos Açores</w:t>
      </w:r>
      <w:r w:rsidR="00C55552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, nomeadamente:</w:t>
      </w:r>
    </w:p>
    <w:p w14:paraId="15FECE01" w14:textId="77777777" w:rsidR="008A78AD" w:rsidRDefault="008A78AD">
      <w:pPr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br w:type="page"/>
      </w:r>
    </w:p>
    <w:p w14:paraId="27EA922F" w14:textId="4BA50D5F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lastRenderedPageBreak/>
        <w:t>Reservas Naturais Marinhas (IUCN I) – Áreas de proteção total</w:t>
      </w:r>
      <w:r w:rsidR="002472A3"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 xml:space="preserve"> (sem atividades extrativas)</w:t>
      </w: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>:</w:t>
      </w:r>
    </w:p>
    <w:p w14:paraId="53810EFF" w14:textId="79A14808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>Objetivos de Gestão</w:t>
      </w:r>
    </w:p>
    <w:p w14:paraId="19292A86" w14:textId="243A4923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a)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Preservação de habitats, ecossistemas e espécies num estado favorável;</w:t>
      </w:r>
    </w:p>
    <w:p w14:paraId="5B512102" w14:textId="783D4862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b)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Manutenção de processos ecológicos;</w:t>
      </w:r>
    </w:p>
    <w:p w14:paraId="526C2AC2" w14:textId="70EB1D5C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c)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Proteção das características estruturais da paisagem marinha e dos seus elementos geológicos;</w:t>
      </w:r>
    </w:p>
    <w:p w14:paraId="1AB136EF" w14:textId="4128347F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d)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Preservação de exemplos do ambiente marinho natural para estudo científico, monitorização e educação ambiental;</w:t>
      </w:r>
    </w:p>
    <w:p w14:paraId="1B953C3A" w14:textId="4EE39BC3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e)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Conservação das condições naturais de referência para trabalhos científicos e projetos em curso;</w:t>
      </w:r>
    </w:p>
    <w:p w14:paraId="473448E6" w14:textId="6CD8096A" w:rsidR="009B2F8A" w:rsidRPr="008A78AD" w:rsidRDefault="009B2F8A" w:rsidP="00C55552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f) Definição de limites e condicionamento ao livre acesso público</w:t>
      </w:r>
      <w:r w:rsidR="00C55552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.</w:t>
      </w:r>
    </w:p>
    <w:p w14:paraId="4365603C" w14:textId="6B31C3B1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>Áreas Marinhas Protegidas para a Proteção de Habitats e Espécies (IUCN IV) – Áreas de proteção Alta</w:t>
      </w:r>
      <w:r w:rsidR="0068503A"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 xml:space="preserve"> (apenas são permitidas atividades extrativas ligeiras de baixo impacto)</w:t>
      </w: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>.</w:t>
      </w:r>
    </w:p>
    <w:p w14:paraId="114EA736" w14:textId="41264EE5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b/>
          <w:bCs/>
          <w:color w:val="272833"/>
          <w:sz w:val="22"/>
          <w:szCs w:val="22"/>
          <w:shd w:val="clear" w:color="auto" w:fill="FFFFFF"/>
        </w:rPr>
        <w:t>Objetivos de Gestão</w:t>
      </w:r>
    </w:p>
    <w:p w14:paraId="65ED4C47" w14:textId="0A5793D6" w:rsidR="00C528DE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a)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Assegurar as condições de referência dos habitats necessárias à proteção de espécies significantes, grupos de espécies, comunidades bióticas ou características físicas do ambiente marinho, sempre que estas necessitem de intervenção humana para a otimização da gestão;</w:t>
      </w:r>
    </w:p>
    <w:p w14:paraId="4919E4E6" w14:textId="1BDA2D09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b)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Disciplinar os usos e atividades que possam constituir ameaça à sustentabilidade de habitats ou espécies;</w:t>
      </w:r>
    </w:p>
    <w:p w14:paraId="016F28C5" w14:textId="7346307B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lastRenderedPageBreak/>
        <w:t xml:space="preserve">c)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Potenciar os benefícios socioeconómicos que resultem da prática de atividades no âmbito da área marinha protegida, quando compatíveis com os objetivos de gestão da mesma;</w:t>
      </w:r>
    </w:p>
    <w:p w14:paraId="207BBF8C" w14:textId="3690D321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 xml:space="preserve">d)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Promover a investigação científica e a monitorização ambiental como atividades indispensáveis à gestão sustentável;</w:t>
      </w:r>
    </w:p>
    <w:p w14:paraId="46701741" w14:textId="26EE4522" w:rsidR="009B2F8A" w:rsidRPr="008A78AD" w:rsidRDefault="00C55552" w:rsidP="00C55552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 w:cs="Calibri"/>
          <w:color w:val="000000"/>
          <w:sz w:val="22"/>
          <w:szCs w:val="22"/>
        </w:rPr>
        <w:t>e</w:t>
      </w:r>
      <w:r w:rsidR="00527AD5" w:rsidRPr="008A78AD">
        <w:rPr>
          <w:rFonts w:ascii="Verdana" w:hAnsi="Verdana" w:cs="Calibri"/>
          <w:color w:val="000000"/>
          <w:sz w:val="22"/>
          <w:szCs w:val="22"/>
        </w:rPr>
        <w:t xml:space="preserve">) </w:t>
      </w:r>
      <w:r w:rsidR="009B2F8A" w:rsidRPr="008A78AD">
        <w:rPr>
          <w:rFonts w:ascii="Verdana" w:hAnsi="Verdana" w:cs="Calibri"/>
          <w:color w:val="000000"/>
          <w:sz w:val="22"/>
          <w:szCs w:val="22"/>
        </w:rPr>
        <w:t>Criar e delimitar áreas marinhas destinadas ao conhecimento e divulgação das características dos habitats a proteger.</w:t>
      </w:r>
    </w:p>
    <w:p w14:paraId="4AE21CCA" w14:textId="2419B18B" w:rsidR="009B2F8A" w:rsidRPr="008A78AD" w:rsidRDefault="00185B6D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Esta ficha simplificada não dispensa a consulta dos documentos disponíveis 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no </w:t>
      </w:r>
      <w:hyperlink r:id="rId7" w:history="1">
        <w:r w:rsidRPr="008A78AD">
          <w:rPr>
            <w:rStyle w:val="Hiperligao"/>
            <w:rFonts w:ascii="Verdana" w:hAnsi="Verdana"/>
            <w:sz w:val="22"/>
            <w:szCs w:val="22"/>
            <w:shd w:val="clear" w:color="auto" w:fill="FFFFFF"/>
          </w:rPr>
          <w:t>Portal do Governo dos Açores</w:t>
        </w:r>
      </w:hyperlink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e os contributos, sugestões, observações e comentários, podem ser enviados </w:t>
      </w:r>
      <w:r w:rsidR="00263F80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até dia 15 de Setembro </w:t>
      </w:r>
      <w:r w:rsidR="00527AD5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de 2023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:</w:t>
      </w:r>
    </w:p>
    <w:p w14:paraId="5F77558F" w14:textId="77777777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(1) Por carta: Consulta Pública da RAMPA - Palácio de Sant'Ana, Rua José Jácome Correia n.º 2, 9500-077 - Ponta Delgada</w:t>
      </w:r>
    </w:p>
    <w:p w14:paraId="718F0206" w14:textId="001A4989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(2) Por mail: rampa@azores.gov.pt</w:t>
      </w:r>
    </w:p>
    <w:p w14:paraId="4B710E78" w14:textId="6D340C45" w:rsidR="009B2F8A" w:rsidRPr="008A78AD" w:rsidRDefault="009B2F8A" w:rsidP="00E3737A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A sua participação </w:t>
      </w:r>
      <w:r w:rsidR="00AC008F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deve</w:t>
      </w: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 ser efetuada:</w:t>
      </w:r>
    </w:p>
    <w:p w14:paraId="2F3F4508" w14:textId="11C99262" w:rsidR="009B2F8A" w:rsidRPr="008A78AD" w:rsidRDefault="0091526D" w:rsidP="00AC008F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- 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De forma clara</w:t>
      </w:r>
    </w:p>
    <w:p w14:paraId="253F2D99" w14:textId="3AFEC739" w:rsidR="009B2F8A" w:rsidRPr="008A78AD" w:rsidRDefault="0091526D" w:rsidP="00AC008F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- 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Focada em questões específicas</w:t>
      </w:r>
    </w:p>
    <w:p w14:paraId="23FEEBC0" w14:textId="012D7120" w:rsidR="009B2F8A" w:rsidRPr="008A78AD" w:rsidRDefault="0091526D" w:rsidP="00AC008F">
      <w:pPr>
        <w:spacing w:before="360" w:after="120" w:line="360" w:lineRule="auto"/>
        <w:jc w:val="both"/>
        <w:rPr>
          <w:rFonts w:ascii="Verdana" w:hAnsi="Verdana"/>
          <w:color w:val="272833"/>
          <w:sz w:val="22"/>
          <w:szCs w:val="22"/>
          <w:shd w:val="clear" w:color="auto" w:fill="FFFFFF"/>
        </w:rPr>
      </w:pPr>
      <w:r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 xml:space="preserve">- </w:t>
      </w:r>
      <w:r w:rsidR="009B2F8A" w:rsidRPr="008A78AD">
        <w:rPr>
          <w:rFonts w:ascii="Verdana" w:hAnsi="Verdana"/>
          <w:color w:val="272833"/>
          <w:sz w:val="22"/>
          <w:szCs w:val="22"/>
          <w:shd w:val="clear" w:color="auto" w:fill="FFFFFF"/>
        </w:rPr>
        <w:t>Com uma linguagem direta e construtiva</w:t>
      </w:r>
    </w:p>
    <w:p w14:paraId="4F106DC2" w14:textId="2486226A" w:rsidR="0091526D" w:rsidRPr="008A78AD" w:rsidRDefault="008A78AD" w:rsidP="00AC008F">
      <w:pPr>
        <w:spacing w:before="360" w:after="120" w:line="360" w:lineRule="auto"/>
        <w:jc w:val="both"/>
        <w:rPr>
          <w:rFonts w:ascii="Verdana" w:hAnsi="Verdana"/>
          <w:b/>
          <w:bCs/>
          <w:color w:val="0070C0"/>
          <w:shd w:val="clear" w:color="auto" w:fill="FFFFFF"/>
        </w:rPr>
      </w:pPr>
      <w:r w:rsidRPr="008A78AD">
        <w:rPr>
          <w:rFonts w:ascii="Verdana" w:hAnsi="Verdana"/>
          <w:b/>
          <w:bCs/>
          <w:color w:val="0070C0"/>
          <w:shd w:val="clear" w:color="auto" w:fill="FFFFFF"/>
        </w:rPr>
        <w:t>Escreva o seu contributo! Participe.</w:t>
      </w:r>
    </w:p>
    <w:p w14:paraId="5E283251" w14:textId="39F5F4C9" w:rsidR="009B2F8A" w:rsidRPr="00E3737A" w:rsidRDefault="009B2F8A" w:rsidP="00E3737A">
      <w:pPr>
        <w:spacing w:before="360" w:after="120" w:line="360" w:lineRule="auto"/>
        <w:rPr>
          <w:rFonts w:ascii="Verdana" w:hAnsi="Verdana"/>
          <w:color w:val="272833"/>
          <w:shd w:val="clear" w:color="auto" w:fill="FFFFFF"/>
        </w:rPr>
      </w:pPr>
    </w:p>
    <w:p w14:paraId="51B7FB03" w14:textId="3F01E52B" w:rsidR="009B2F8A" w:rsidRPr="00E3737A" w:rsidRDefault="009B2F8A" w:rsidP="00E3737A">
      <w:pPr>
        <w:spacing w:before="360" w:after="120" w:line="360" w:lineRule="auto"/>
        <w:rPr>
          <w:rFonts w:ascii="Verdana" w:hAnsi="Verdana"/>
          <w:color w:val="272833"/>
          <w:shd w:val="clear" w:color="auto" w:fill="FFFFFF"/>
        </w:rPr>
      </w:pPr>
    </w:p>
    <w:p w14:paraId="13711383" w14:textId="11421F4A" w:rsidR="009B2F8A" w:rsidRPr="00E3737A" w:rsidRDefault="009B2F8A" w:rsidP="00E3737A">
      <w:pPr>
        <w:spacing w:before="360" w:after="120" w:line="360" w:lineRule="auto"/>
        <w:rPr>
          <w:rFonts w:ascii="Verdana" w:hAnsi="Verdana"/>
          <w:color w:val="272833"/>
          <w:shd w:val="clear" w:color="auto" w:fill="FFFFFF"/>
        </w:rPr>
      </w:pPr>
    </w:p>
    <w:p w14:paraId="0FD9FE2B" w14:textId="590A30FF" w:rsidR="009B2F8A" w:rsidRPr="00E3737A" w:rsidRDefault="009B2F8A" w:rsidP="00E3737A">
      <w:pPr>
        <w:spacing w:before="360" w:after="120" w:line="360" w:lineRule="auto"/>
        <w:rPr>
          <w:rFonts w:ascii="Verdana" w:hAnsi="Verdana"/>
          <w:color w:val="272833"/>
          <w:shd w:val="clear" w:color="auto" w:fill="FFFFFF"/>
        </w:rPr>
      </w:pPr>
    </w:p>
    <w:sectPr w:rsidR="009B2F8A" w:rsidRPr="00E37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19A"/>
    <w:multiLevelType w:val="hybridMultilevel"/>
    <w:tmpl w:val="DED4F250"/>
    <w:lvl w:ilvl="0" w:tplc="D2BC0FEA">
      <w:start w:val="1"/>
      <w:numFmt w:val="lowerLetter"/>
      <w:lvlText w:val="%1)"/>
      <w:lvlJc w:val="left"/>
      <w:pPr>
        <w:ind w:left="720" w:hanging="360"/>
      </w:pPr>
      <w:rPr>
        <w:rFonts w:ascii="Euphemia" w:hAnsi="Euphemia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23A36"/>
    <w:multiLevelType w:val="hybridMultilevel"/>
    <w:tmpl w:val="EB4E9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7E9C"/>
    <w:multiLevelType w:val="hybridMultilevel"/>
    <w:tmpl w:val="07A6DC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3535B"/>
    <w:multiLevelType w:val="hybridMultilevel"/>
    <w:tmpl w:val="46D85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6418">
    <w:abstractNumId w:val="0"/>
  </w:num>
  <w:num w:numId="2" w16cid:durableId="1408579619">
    <w:abstractNumId w:val="1"/>
  </w:num>
  <w:num w:numId="3" w16cid:durableId="754866142">
    <w:abstractNumId w:val="3"/>
  </w:num>
  <w:num w:numId="4" w16cid:durableId="78500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B"/>
    <w:rsid w:val="000A2DA9"/>
    <w:rsid w:val="00147771"/>
    <w:rsid w:val="00161E8B"/>
    <w:rsid w:val="00185B6D"/>
    <w:rsid w:val="001B29EE"/>
    <w:rsid w:val="002472A3"/>
    <w:rsid w:val="00263F80"/>
    <w:rsid w:val="0035087A"/>
    <w:rsid w:val="003677B4"/>
    <w:rsid w:val="003D7095"/>
    <w:rsid w:val="004C3BD0"/>
    <w:rsid w:val="00527AD5"/>
    <w:rsid w:val="0055428A"/>
    <w:rsid w:val="005A6ED8"/>
    <w:rsid w:val="005E76DB"/>
    <w:rsid w:val="00604A7E"/>
    <w:rsid w:val="00663139"/>
    <w:rsid w:val="00676A61"/>
    <w:rsid w:val="0068503A"/>
    <w:rsid w:val="00716E41"/>
    <w:rsid w:val="0074328D"/>
    <w:rsid w:val="007917D7"/>
    <w:rsid w:val="007A22D1"/>
    <w:rsid w:val="007D76BC"/>
    <w:rsid w:val="008150D1"/>
    <w:rsid w:val="008A065A"/>
    <w:rsid w:val="008A78AD"/>
    <w:rsid w:val="008E37C7"/>
    <w:rsid w:val="0091526D"/>
    <w:rsid w:val="0095294E"/>
    <w:rsid w:val="00957B09"/>
    <w:rsid w:val="009B2F8A"/>
    <w:rsid w:val="00A15E1B"/>
    <w:rsid w:val="00A64A91"/>
    <w:rsid w:val="00A841D9"/>
    <w:rsid w:val="00AA3E71"/>
    <w:rsid w:val="00AC008F"/>
    <w:rsid w:val="00AF7F42"/>
    <w:rsid w:val="00B91FF6"/>
    <w:rsid w:val="00BB6421"/>
    <w:rsid w:val="00C363F7"/>
    <w:rsid w:val="00C512D2"/>
    <w:rsid w:val="00C528DE"/>
    <w:rsid w:val="00C55552"/>
    <w:rsid w:val="00CA6D49"/>
    <w:rsid w:val="00CB7C02"/>
    <w:rsid w:val="00D833AD"/>
    <w:rsid w:val="00E01444"/>
    <w:rsid w:val="00E279C8"/>
    <w:rsid w:val="00E3737A"/>
    <w:rsid w:val="00EA4C68"/>
    <w:rsid w:val="00EC6A45"/>
    <w:rsid w:val="00F04146"/>
    <w:rsid w:val="00F408A6"/>
    <w:rsid w:val="00F67EA1"/>
    <w:rsid w:val="00F83FAE"/>
    <w:rsid w:val="00FB7FDA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165E"/>
  <w15:chartTrackingRefBased/>
  <w15:docId w15:val="{3D78C243-A174-B34E-9597-198443B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--title-text">
    <w:name w:val="gra--title-text"/>
    <w:basedOn w:val="Tipodeletrapredefinidodopargrafo"/>
    <w:rsid w:val="005E76DB"/>
  </w:style>
  <w:style w:type="paragraph" w:styleId="PargrafodaLista">
    <w:name w:val="List Paragraph"/>
    <w:basedOn w:val="Normal"/>
    <w:uiPriority w:val="34"/>
    <w:qFormat/>
    <w:rsid w:val="00185B6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85B6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85B6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5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azores.gov.pt/web/prgra/-/rede-de-%C3%81reas-marinhas-protegidas-dos-a%C3%87ores-rampa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p_processo" source-type="AdditionalFields">
        <TAG><![CDATA[#NOVOREGISTO:CA:sep_processo#]]></TAG>
        <VALUE><![CDATA[#NOVOREGISTO:CA:sep_processo#]]></VALUE>
        <XPATH><![CDATA[/CARD/FIELDS/FIELD[FIELD='sep_process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p_processo" source-type="AdditionalFields">
        <TAG><![CDATA[#PRIMEIROREGISTO:CA:sep_processo#]]></TAG>
        <VALUE><![CDATA[#PRIMEIROREGISTO:CA:sep_processo#]]></VALUE>
        <XPATH><![CDATA[/CARD/FIELDS/FIELD[NAME='sep_process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p_processo" source-type="AdditionalFields">
        <TAG><![CDATA[#PRIMEIROPROCESSO:CA:sep_processo#]]></TAG>
        <VALUE><![CDATA[#PRIMEIROPROCESSO:CA:sep_processo#]]></VALUE>
        <XPATH><![CDATA[/CARD/FIELDS/FIELD[NAME='sep_process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p_processo" source-type="AdditionalFields">
        <TAG><![CDATA[#REGISTO:CA:sep_processo#]]></TAG>
        <VALUE><![CDATA[#REGISTO:CA:sep_processo#]]></VALUE>
        <XPATH><![CDATA[/CARD/FIELDS/FIELD[NAME='sep_process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p_processo" source-type="AdditionalFields">
        <TAG><![CDATA[#CONTEXTPROCESS:CA:sep_processo#]]></TAG>
        <VALUE><![CDATA[sep_processo]]></VALUE>
        <XPATH><![CDATA[/PROCESS/FIELDS/FIELD[NAME='sep_process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1CD21CF-FC4E-4F4A-8F27-BFEF24E81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Quintela</dc:creator>
  <cp:keywords/>
  <dc:description/>
  <cp:lastModifiedBy>Carlos Pinto Lopes</cp:lastModifiedBy>
  <cp:revision>36</cp:revision>
  <dcterms:created xsi:type="dcterms:W3CDTF">2023-08-01T17:52:00Z</dcterms:created>
  <dcterms:modified xsi:type="dcterms:W3CDTF">2023-08-02T11:49:00Z</dcterms:modified>
</cp:coreProperties>
</file>